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72C68" w14:textId="2759966A" w:rsidR="00544F0B" w:rsidRDefault="005D4DF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w:t>
      </w:r>
      <w:r w:rsidR="0079452E">
        <w:rPr>
          <w:rFonts w:ascii="Arial" w:eastAsia="MS Mincho" w:hAnsi="Arial" w:cs="Arial"/>
          <w:b/>
          <w:sz w:val="24"/>
          <w:szCs w:val="24"/>
          <w:lang w:eastAsia="ja-JP"/>
        </w:rPr>
        <w:t>4</w:t>
      </w:r>
      <w:r>
        <w:rPr>
          <w:rFonts w:ascii="Arial" w:eastAsia="MS Mincho" w:hAnsi="Arial" w:cs="Arial"/>
          <w:b/>
          <w:sz w:val="24"/>
          <w:szCs w:val="24"/>
          <w:lang w:eastAsia="ja-JP"/>
        </w:rPr>
        <w:t xml:space="preserve"> Meeting #</w:t>
      </w:r>
      <w:r w:rsidR="0079452E">
        <w:rPr>
          <w:rFonts w:ascii="Arial" w:eastAsia="MS Mincho" w:hAnsi="Arial" w:cs="Arial"/>
          <w:b/>
          <w:sz w:val="24"/>
          <w:szCs w:val="24"/>
          <w:lang w:eastAsia="ja-JP"/>
        </w:rPr>
        <w:t>122</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w:t>
      </w:r>
      <w:r w:rsidR="0079452E">
        <w:rPr>
          <w:rFonts w:ascii="Arial" w:eastAsia="MS Mincho" w:hAnsi="Arial" w:cs="Arial"/>
          <w:b/>
          <w:sz w:val="24"/>
          <w:szCs w:val="24"/>
          <w:lang w:eastAsia="ja-JP"/>
        </w:rPr>
        <w:t>4</w:t>
      </w:r>
      <w:r>
        <w:rPr>
          <w:rFonts w:ascii="Arial" w:eastAsia="MS Mincho" w:hAnsi="Arial" w:cs="Arial"/>
          <w:b/>
          <w:sz w:val="24"/>
          <w:szCs w:val="24"/>
          <w:lang w:eastAsia="ja-JP"/>
        </w:rPr>
        <w:t>-</w:t>
      </w:r>
      <w:r w:rsidR="003B5B01" w:rsidRPr="003B5B01">
        <w:t xml:space="preserve"> </w:t>
      </w:r>
      <w:r w:rsidR="003B5B01" w:rsidRPr="003B5B01">
        <w:rPr>
          <w:rFonts w:ascii="Arial" w:eastAsia="MS Mincho" w:hAnsi="Arial" w:cs="Arial"/>
          <w:b/>
          <w:sz w:val="24"/>
          <w:szCs w:val="24"/>
          <w:lang w:eastAsia="ja-JP"/>
        </w:rPr>
        <w:t>230265</w:t>
      </w:r>
    </w:p>
    <w:p w14:paraId="17FF94D5" w14:textId="0593CA5C" w:rsidR="00544F0B" w:rsidRDefault="005D4DF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p>
    <w:p w14:paraId="42FD7D61" w14:textId="77777777" w:rsidR="00544F0B" w:rsidRDefault="00544F0B">
      <w:pPr>
        <w:spacing w:after="0"/>
        <w:rPr>
          <w:rFonts w:ascii="Arial" w:eastAsia="MS Mincho" w:hAnsi="Arial"/>
          <w:sz w:val="24"/>
          <w:szCs w:val="24"/>
          <w:lang w:eastAsia="ja-JP"/>
        </w:rPr>
      </w:pPr>
    </w:p>
    <w:p w14:paraId="11BFCF74" w14:textId="066D9612" w:rsidR="00544F0B" w:rsidRDefault="005D4DF7">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D61C48">
        <w:rPr>
          <w:rFonts w:ascii="Arial" w:hAnsi="Arial" w:cs="Arial"/>
          <w:b/>
          <w:bCs/>
          <w:lang w:val="en-US"/>
        </w:rPr>
        <w:t>Tencent</w:t>
      </w:r>
    </w:p>
    <w:p w14:paraId="0686471F" w14:textId="6C836BF9" w:rsidR="00544F0B" w:rsidRDefault="005D4DF7">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79452E">
        <w:rPr>
          <w:rFonts w:ascii="Arial" w:hAnsi="Arial" w:cs="Arial"/>
          <w:b/>
          <w:bCs/>
        </w:rPr>
        <w:t>Safe viewing zone metric</w:t>
      </w:r>
    </w:p>
    <w:p w14:paraId="686329A8" w14:textId="26BA7120" w:rsidR="00544F0B" w:rsidRDefault="005D4DF7">
      <w:pPr>
        <w:spacing w:after="120"/>
        <w:ind w:left="1985" w:hanging="1985"/>
        <w:rPr>
          <w:rFonts w:ascii="Arial" w:hAnsi="Arial" w:cs="Arial"/>
          <w:b/>
          <w:bCs/>
        </w:rPr>
      </w:pPr>
      <w:r>
        <w:rPr>
          <w:rFonts w:ascii="Arial" w:hAnsi="Arial" w:cs="Arial"/>
          <w:b/>
          <w:bCs/>
        </w:rPr>
        <w:t>Draft Spec:</w:t>
      </w:r>
      <w:r>
        <w:rPr>
          <w:rFonts w:ascii="Arial" w:hAnsi="Arial" w:cs="Arial"/>
          <w:b/>
          <w:bCs/>
        </w:rPr>
        <w:tab/>
        <w:t>3GPP TR 2</w:t>
      </w:r>
      <w:r w:rsidR="0079452E">
        <w:rPr>
          <w:rFonts w:ascii="Arial" w:hAnsi="Arial" w:cs="Arial"/>
          <w:b/>
          <w:bCs/>
        </w:rPr>
        <w:t>6.812</w:t>
      </w:r>
      <w:r>
        <w:rPr>
          <w:rFonts w:ascii="Arial" w:hAnsi="Arial" w:cs="Arial"/>
          <w:b/>
          <w:bCs/>
        </w:rPr>
        <w:t>-0</w:t>
      </w:r>
      <w:r w:rsidR="00D61C48">
        <w:rPr>
          <w:rFonts w:ascii="Arial" w:hAnsi="Arial" w:cs="Arial"/>
          <w:b/>
          <w:bCs/>
          <w:lang w:val="en-US"/>
        </w:rPr>
        <w:t>2</w:t>
      </w:r>
      <w:r>
        <w:rPr>
          <w:rFonts w:ascii="Arial" w:hAnsi="Arial" w:cs="Arial"/>
          <w:b/>
          <w:bCs/>
        </w:rPr>
        <w:t>0</w:t>
      </w:r>
    </w:p>
    <w:p w14:paraId="3F41F11E" w14:textId="22857D9A" w:rsidR="00544F0B" w:rsidRDefault="005D4DF7">
      <w:pPr>
        <w:spacing w:after="120"/>
        <w:ind w:left="1985" w:hanging="1985"/>
        <w:rPr>
          <w:rFonts w:ascii="Arial" w:hAnsi="Arial" w:cs="Arial"/>
          <w:b/>
          <w:bCs/>
        </w:rPr>
      </w:pPr>
      <w:bookmarkStart w:id="0" w:name="OLE_LINK1"/>
      <w:r>
        <w:rPr>
          <w:rFonts w:ascii="Arial" w:hAnsi="Arial" w:cs="Arial"/>
          <w:b/>
          <w:bCs/>
        </w:rPr>
        <w:t>Agenda</w:t>
      </w:r>
      <w:bookmarkEnd w:id="0"/>
      <w:r>
        <w:rPr>
          <w:rFonts w:ascii="Arial" w:hAnsi="Arial" w:cs="Arial"/>
          <w:b/>
          <w:bCs/>
        </w:rPr>
        <w:t xml:space="preserve"> item:</w:t>
      </w:r>
      <w:r>
        <w:rPr>
          <w:rFonts w:ascii="Arial" w:hAnsi="Arial" w:cs="Arial"/>
          <w:b/>
          <w:bCs/>
        </w:rPr>
        <w:tab/>
      </w:r>
      <w:r w:rsidR="0079452E">
        <w:rPr>
          <w:rFonts w:ascii="Arial" w:hAnsi="Arial" w:cs="Arial"/>
          <w:b/>
          <w:bCs/>
          <w:lang w:val="en-US"/>
        </w:rPr>
        <w:t>9.8</w:t>
      </w:r>
    </w:p>
    <w:p w14:paraId="5FCBD2A1" w14:textId="77777777" w:rsidR="00544F0B" w:rsidRDefault="005D4DF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667FD26" w14:textId="77777777" w:rsidR="00544F0B" w:rsidRPr="0079452E" w:rsidRDefault="00544F0B">
      <w:pPr>
        <w:pBdr>
          <w:bottom w:val="single" w:sz="6" w:space="1" w:color="auto"/>
        </w:pBdr>
        <w:spacing w:after="0"/>
        <w:rPr>
          <w:rFonts w:eastAsia="MS Mincho"/>
          <w:sz w:val="24"/>
          <w:szCs w:val="24"/>
          <w:lang w:val="en-US" w:eastAsia="ja-JP"/>
        </w:rPr>
      </w:pPr>
    </w:p>
    <w:p w14:paraId="6E677C95" w14:textId="77777777" w:rsidR="00544F0B" w:rsidRPr="0079452E" w:rsidRDefault="00544F0B">
      <w:pPr>
        <w:pStyle w:val="CRCoverPage"/>
        <w:rPr>
          <w:b/>
          <w:lang w:val="en-US"/>
        </w:rPr>
      </w:pPr>
    </w:p>
    <w:p w14:paraId="779F0DDB" w14:textId="36EE7529" w:rsidR="00D61C48" w:rsidRPr="0079452E" w:rsidRDefault="005D4DF7" w:rsidP="0079452E">
      <w:pPr>
        <w:pStyle w:val="CRCoverPage"/>
        <w:rPr>
          <w:b/>
        </w:rPr>
      </w:pPr>
      <w:r>
        <w:rPr>
          <w:b/>
        </w:rPr>
        <w:t>1. Introduction</w:t>
      </w:r>
      <w:r w:rsidR="00D61C48" w:rsidRPr="00D61C48">
        <w:rPr>
          <w:rFonts w:ascii="Times New Roman" w:hAnsi="Times New Roman"/>
          <w:i/>
          <w:iCs/>
        </w:rPr>
        <w:t xml:space="preserve"> </w:t>
      </w:r>
    </w:p>
    <w:p w14:paraId="45169DCB" w14:textId="66C9727E" w:rsidR="0079452E" w:rsidRDefault="00D61C48" w:rsidP="00D61C48">
      <w:pPr>
        <w:pStyle w:val="CRCoverPage"/>
        <w:rPr>
          <w:rFonts w:ascii="Times New Roman" w:hAnsi="Times New Roman"/>
        </w:rPr>
      </w:pPr>
      <w:r>
        <w:rPr>
          <w:rFonts w:ascii="Times New Roman" w:hAnsi="Times New Roman"/>
        </w:rPr>
        <w:t xml:space="preserve">This contribution proposes to </w:t>
      </w:r>
      <w:r w:rsidR="0079452E">
        <w:rPr>
          <w:rFonts w:ascii="Times New Roman" w:hAnsi="Times New Roman"/>
        </w:rPr>
        <w:t>include a metric on the identification of a safe area</w:t>
      </w:r>
      <w:r w:rsidR="003B5B01">
        <w:rPr>
          <w:rFonts w:ascii="Times New Roman" w:hAnsi="Times New Roman"/>
        </w:rPr>
        <w:t xml:space="preserve"> around</w:t>
      </w:r>
      <w:r w:rsidR="0079452E">
        <w:rPr>
          <w:rFonts w:ascii="Times New Roman" w:hAnsi="Times New Roman"/>
        </w:rPr>
        <w:t xml:space="preserve"> the end user in which the AR/MR objects can be placed</w:t>
      </w:r>
      <w:r w:rsidR="003B5B01">
        <w:rPr>
          <w:rFonts w:ascii="Times New Roman" w:hAnsi="Times New Roman"/>
        </w:rPr>
        <w:t xml:space="preserve"> safely and comfortably</w:t>
      </w:r>
      <w:r w:rsidR="0079452E">
        <w:rPr>
          <w:rFonts w:ascii="Times New Roman" w:hAnsi="Times New Roman"/>
        </w:rPr>
        <w:t>.</w:t>
      </w:r>
    </w:p>
    <w:p w14:paraId="29694F4B" w14:textId="77777777" w:rsidR="00544F0B" w:rsidRDefault="005D4DF7">
      <w:pPr>
        <w:pStyle w:val="CRCoverPage"/>
        <w:rPr>
          <w:b/>
        </w:rPr>
      </w:pPr>
      <w:r>
        <w:rPr>
          <w:b/>
        </w:rPr>
        <w:t>4. Proposal</w:t>
      </w:r>
    </w:p>
    <w:p w14:paraId="4813BAE9" w14:textId="746CD80D" w:rsidR="00544F0B" w:rsidRDefault="00A2513D">
      <w:pPr>
        <w:rPr>
          <w:lang w:val="en-US"/>
        </w:rPr>
      </w:pPr>
      <w:r>
        <w:rPr>
          <w:lang w:val="en-US"/>
        </w:rPr>
        <w:t xml:space="preserve">If agreeable, it is proposed to add the following changes to the draft TR </w:t>
      </w:r>
      <w:r w:rsidR="0079452E">
        <w:rPr>
          <w:lang w:val="en-US"/>
        </w:rPr>
        <w:t>26.812</w:t>
      </w:r>
      <w:r>
        <w:rPr>
          <w:lang w:val="en-US"/>
        </w:rPr>
        <w:t>.</w:t>
      </w:r>
    </w:p>
    <w:p w14:paraId="37F669DA" w14:textId="77777777" w:rsidR="00544F0B" w:rsidRDefault="00544F0B">
      <w:pPr>
        <w:pBdr>
          <w:bottom w:val="single" w:sz="12" w:space="1" w:color="auto"/>
        </w:pBdr>
        <w:rPr>
          <w:lang w:val="en-US"/>
        </w:rPr>
      </w:pPr>
    </w:p>
    <w:p w14:paraId="0347B341" w14:textId="77777777" w:rsidR="00544F0B" w:rsidRDefault="00544F0B">
      <w:pPr>
        <w:rPr>
          <w:lang w:val="en-US"/>
        </w:rPr>
      </w:pPr>
    </w:p>
    <w:p w14:paraId="70B47D08" w14:textId="63466A27" w:rsidR="00544F0B" w:rsidRDefault="005D4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w:t>
      </w:r>
      <w:r w:rsidR="00AB03E0">
        <w:rPr>
          <w:rFonts w:ascii="Arial" w:hAnsi="Arial" w:cs="Arial"/>
          <w:color w:val="0000FF"/>
          <w:sz w:val="28"/>
          <w:szCs w:val="28"/>
        </w:rPr>
        <w:t>Change</w:t>
      </w:r>
      <w:r w:rsidR="00AB03E0">
        <w:rPr>
          <w:rFonts w:ascii="Arial" w:hAnsi="Arial" w:cs="Arial"/>
          <w:color w:val="0000FF"/>
          <w:sz w:val="28"/>
          <w:szCs w:val="28"/>
          <w:lang w:val="en-US"/>
        </w:rPr>
        <w:t xml:space="preserve"> (</w:t>
      </w:r>
      <w:r>
        <w:rPr>
          <w:rFonts w:ascii="Arial" w:hAnsi="Arial" w:cs="Arial"/>
          <w:color w:val="0000FF"/>
          <w:sz w:val="28"/>
          <w:szCs w:val="28"/>
          <w:lang w:val="en-US"/>
        </w:rPr>
        <w:t>All new text)</w:t>
      </w:r>
      <w:r>
        <w:rPr>
          <w:rFonts w:ascii="Arial" w:hAnsi="Arial" w:cs="Arial"/>
          <w:color w:val="0000FF"/>
          <w:sz w:val="28"/>
          <w:szCs w:val="28"/>
        </w:rPr>
        <w:t xml:space="preserve"> * * * *</w:t>
      </w:r>
    </w:p>
    <w:p w14:paraId="1C9441CA" w14:textId="77777777" w:rsidR="0079452E" w:rsidRDefault="0079452E" w:rsidP="0079452E">
      <w:pPr>
        <w:pStyle w:val="Heading2"/>
      </w:pPr>
      <w:r>
        <w:t>5.1 Safe viewing zone</w:t>
      </w:r>
    </w:p>
    <w:p w14:paraId="7EACA836" w14:textId="77777777" w:rsidR="0079452E" w:rsidRDefault="0079452E" w:rsidP="0079452E">
      <w:pPr>
        <w:pStyle w:val="Heading3"/>
      </w:pPr>
      <w:r>
        <w:t>5.1.1</w:t>
      </w:r>
      <w:r>
        <w:tab/>
        <w:t>Introduction</w:t>
      </w:r>
    </w:p>
    <w:p w14:paraId="40BE2AE9" w14:textId="7474E115" w:rsidR="0079452E" w:rsidRDefault="0079452E" w:rsidP="0079452E">
      <w:r>
        <w:t xml:space="preserve">Immersive experiences in AR/MR offer various types </w:t>
      </w:r>
      <w:r w:rsidR="00D125CB">
        <w:t>of</w:t>
      </w:r>
      <w:r>
        <w:t xml:space="preserve"> </w:t>
      </w:r>
      <w:r w:rsidR="00D125CB">
        <w:t>degrees</w:t>
      </w:r>
      <w:r>
        <w:t xml:space="preserve"> of freedom (DoF). Depending on the </w:t>
      </w:r>
      <w:r w:rsidR="00955E0C">
        <w:t>user’s surrounding environment</w:t>
      </w:r>
      <w:r>
        <w:t xml:space="preserve">, AR/MR experiences may be limited due to </w:t>
      </w:r>
      <w:r w:rsidR="00955E0C">
        <w:t xml:space="preserve">the </w:t>
      </w:r>
      <w:r>
        <w:t>collision between AR visual objects and real ones.</w:t>
      </w:r>
    </w:p>
    <w:p w14:paraId="5A80F9E5" w14:textId="77777777" w:rsidR="0079452E" w:rsidRDefault="0079452E" w:rsidP="0079452E">
      <w:r>
        <w:t>This is also true for Virtual Reality (VR) experiences in which the user has no sense of the proximity of the closest objects in the room.</w:t>
      </w:r>
    </w:p>
    <w:p w14:paraId="20FFAA73" w14:textId="56A8D8DE" w:rsidR="0079452E" w:rsidRDefault="0079452E" w:rsidP="0079452E">
      <w:r>
        <w:t xml:space="preserve">It is therefore useful to detect the area in which the AR/MR experience is offered in a comfortable, intelligible, and </w:t>
      </w:r>
      <w:r w:rsidR="00955E0C">
        <w:t>secure</w:t>
      </w:r>
      <w:r>
        <w:t xml:space="preserve"> way as illustrated in Figure 5.1-1.</w:t>
      </w:r>
    </w:p>
    <w:p w14:paraId="0B3AB29B" w14:textId="77777777" w:rsidR="0079452E" w:rsidRDefault="0079452E" w:rsidP="0079452E">
      <w:pPr>
        <w:pStyle w:val="TF"/>
      </w:pPr>
      <w:r w:rsidRPr="00D31B6F">
        <w:rPr>
          <w:noProof/>
        </w:rPr>
        <w:drawing>
          <wp:inline distT="0" distB="0" distL="0" distR="0" wp14:anchorId="3B7E2BF3" wp14:editId="7268E5A9">
            <wp:extent cx="3344652" cy="1943444"/>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53219" cy="1948422"/>
                    </a:xfrm>
                    <a:prstGeom prst="rect">
                      <a:avLst/>
                    </a:prstGeom>
                  </pic:spPr>
                </pic:pic>
              </a:graphicData>
            </a:graphic>
          </wp:inline>
        </w:drawing>
      </w:r>
      <w:r>
        <w:t xml:space="preserve"> </w:t>
      </w:r>
    </w:p>
    <w:p w14:paraId="65E299F5" w14:textId="77777777" w:rsidR="0079452E" w:rsidRPr="00D2457B" w:rsidRDefault="0079452E" w:rsidP="0079452E">
      <w:pPr>
        <w:pStyle w:val="TF"/>
        <w:rPr>
          <w:lang w:val="en-US"/>
        </w:rPr>
      </w:pPr>
      <w:r w:rsidRPr="008C04B9">
        <w:rPr>
          <w:lang w:val="en-US"/>
        </w:rPr>
        <w:t>Figure 5_1-1: Illustration of the s</w:t>
      </w:r>
      <w:r>
        <w:rPr>
          <w:lang w:val="en-US"/>
        </w:rPr>
        <w:t>afe viewing zone</w:t>
      </w:r>
    </w:p>
    <w:p w14:paraId="413927F1" w14:textId="77777777" w:rsidR="0079452E" w:rsidRDefault="0079452E" w:rsidP="0079452E">
      <w:pPr>
        <w:pStyle w:val="Heading3"/>
      </w:pPr>
      <w:r>
        <w:lastRenderedPageBreak/>
        <w:t>5.1.2</w:t>
      </w:r>
      <w:r>
        <w:tab/>
        <w:t>Metric definition</w:t>
      </w:r>
    </w:p>
    <w:p w14:paraId="48BE1D85" w14:textId="48A6BFCD" w:rsidR="0079452E" w:rsidRDefault="0079452E" w:rsidP="0079452E">
      <w:r>
        <w:t xml:space="preserve">The safe viewing zone is defined by the distance from the user all around him/her and eventually the radius that indicates the field of view in which the AR/MR object is safely placed as shown in figure 5.1-2. The distance is an </w:t>
      </w:r>
      <w:r w:rsidR="00955E0C">
        <w:t>integer</w:t>
      </w:r>
      <w:r>
        <w:t xml:space="preserve"> expressed in </w:t>
      </w:r>
      <w:r w:rsidR="00F20764">
        <w:t>millimeters</w:t>
      </w:r>
      <w:r>
        <w:t xml:space="preserve"> and the radius is an integer expressed in </w:t>
      </w:r>
      <w:r w:rsidR="00F20764">
        <w:t>degrees</w:t>
      </w:r>
      <w:r>
        <w:t>.</w:t>
      </w:r>
    </w:p>
    <w:p w14:paraId="407F5068" w14:textId="77777777" w:rsidR="0079452E" w:rsidRDefault="0079452E" w:rsidP="0079452E">
      <w:pPr>
        <w:pStyle w:val="TF"/>
        <w:rPr>
          <w:lang w:val="en-US"/>
        </w:rPr>
      </w:pPr>
      <w:r w:rsidRPr="00D2457B">
        <w:rPr>
          <w:noProof/>
          <w:lang w:val="en-US"/>
        </w:rPr>
        <w:drawing>
          <wp:inline distT="0" distB="0" distL="0" distR="0" wp14:anchorId="3D3F832C" wp14:editId="489815B6">
            <wp:extent cx="2896615" cy="2929664"/>
            <wp:effectExtent l="0" t="0" r="0" b="444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04844" cy="2937987"/>
                    </a:xfrm>
                    <a:prstGeom prst="rect">
                      <a:avLst/>
                    </a:prstGeom>
                  </pic:spPr>
                </pic:pic>
              </a:graphicData>
            </a:graphic>
          </wp:inline>
        </w:drawing>
      </w:r>
    </w:p>
    <w:p w14:paraId="6F3C7E7E" w14:textId="77777777" w:rsidR="0079452E" w:rsidRDefault="0079452E" w:rsidP="0079452E">
      <w:pPr>
        <w:pStyle w:val="TF"/>
        <w:rPr>
          <w:lang w:val="en-US"/>
        </w:rPr>
      </w:pPr>
      <w:r>
        <w:rPr>
          <w:lang w:val="en-US"/>
        </w:rPr>
        <w:t>Figure 5.1-2: Description of the safe viewing zone metric</w:t>
      </w:r>
    </w:p>
    <w:p w14:paraId="7ECDAA5F" w14:textId="77777777" w:rsidR="0079452E" w:rsidRDefault="0079452E" w:rsidP="0079452E">
      <w:pPr>
        <w:pStyle w:val="Heading3"/>
      </w:pPr>
      <w:r>
        <w:t>5.1.3</w:t>
      </w:r>
      <w:r>
        <w:tab/>
        <w:t>Metric potential syntax</w:t>
      </w:r>
    </w:p>
    <w:p w14:paraId="330DEF6E" w14:textId="77777777" w:rsidR="0079452E" w:rsidRDefault="0079452E" w:rsidP="0079452E">
      <w:r>
        <w:t>The following syntax is proposed in Table 5.1-1 for expressing the safe viewing zone.</w:t>
      </w:r>
    </w:p>
    <w:p w14:paraId="38A71E9C" w14:textId="77777777" w:rsidR="0079452E" w:rsidRPr="00D2457B" w:rsidRDefault="0079452E" w:rsidP="0079452E">
      <w:pPr>
        <w:pStyle w:val="TH"/>
        <w:rPr>
          <w:rFonts w:eastAsia="SimSun"/>
        </w:rPr>
      </w:pPr>
      <w:r w:rsidRPr="00D2457B">
        <w:t>Table </w:t>
      </w:r>
      <w:r>
        <w:t>5.1-1</w:t>
      </w:r>
      <w:r w:rsidRPr="00D2457B">
        <w:t xml:space="preserve">: </w:t>
      </w:r>
      <w:r>
        <w:t>Safe viewing zone signalling</w:t>
      </w:r>
    </w:p>
    <w:tbl>
      <w:tblPr>
        <w:tblW w:w="9640" w:type="dxa"/>
        <w:jc w:val="center"/>
        <w:tblLayout w:type="fixed"/>
        <w:tblLook w:val="04A0" w:firstRow="1" w:lastRow="0" w:firstColumn="1" w:lastColumn="0" w:noHBand="0" w:noVBand="1"/>
      </w:tblPr>
      <w:tblGrid>
        <w:gridCol w:w="2766"/>
        <w:gridCol w:w="1340"/>
        <w:gridCol w:w="5534"/>
      </w:tblGrid>
      <w:tr w:rsidR="0079452E" w14:paraId="54E78EBF" w14:textId="77777777" w:rsidTr="00EE1566">
        <w:trPr>
          <w:jc w:val="center"/>
        </w:trPr>
        <w:tc>
          <w:tcPr>
            <w:tcW w:w="2766" w:type="dxa"/>
            <w:tcBorders>
              <w:top w:val="single" w:sz="4" w:space="0" w:color="000000"/>
              <w:left w:val="single" w:sz="4" w:space="0" w:color="000000"/>
              <w:bottom w:val="single" w:sz="4" w:space="0" w:color="000000"/>
              <w:right w:val="nil"/>
            </w:tcBorders>
            <w:hideMark/>
          </w:tcPr>
          <w:p w14:paraId="7E4E23BB" w14:textId="77777777" w:rsidR="0079452E" w:rsidRDefault="0079452E" w:rsidP="00EE1566">
            <w:pPr>
              <w:pStyle w:val="TH"/>
            </w:pPr>
            <w:r>
              <w:t>Information element</w:t>
            </w:r>
          </w:p>
        </w:tc>
        <w:tc>
          <w:tcPr>
            <w:tcW w:w="1340" w:type="dxa"/>
            <w:tcBorders>
              <w:top w:val="single" w:sz="4" w:space="0" w:color="000000"/>
              <w:left w:val="single" w:sz="4" w:space="0" w:color="000000"/>
              <w:bottom w:val="single" w:sz="4" w:space="0" w:color="000000"/>
              <w:right w:val="nil"/>
            </w:tcBorders>
            <w:hideMark/>
          </w:tcPr>
          <w:p w14:paraId="16BDADB4" w14:textId="77777777" w:rsidR="0079452E" w:rsidRDefault="0079452E" w:rsidP="00EE1566">
            <w:pPr>
              <w:pStyle w:val="TH"/>
            </w:pPr>
            <w:r>
              <w:t>Type</w:t>
            </w:r>
          </w:p>
        </w:tc>
        <w:tc>
          <w:tcPr>
            <w:tcW w:w="5534" w:type="dxa"/>
            <w:tcBorders>
              <w:top w:val="single" w:sz="4" w:space="0" w:color="000000"/>
              <w:left w:val="single" w:sz="4" w:space="0" w:color="000000"/>
              <w:bottom w:val="single" w:sz="4" w:space="0" w:color="000000"/>
              <w:right w:val="single" w:sz="4" w:space="0" w:color="000000"/>
            </w:tcBorders>
            <w:hideMark/>
          </w:tcPr>
          <w:p w14:paraId="05BD941B" w14:textId="77777777" w:rsidR="0079452E" w:rsidRDefault="0079452E" w:rsidP="00EE1566">
            <w:pPr>
              <w:pStyle w:val="TH"/>
            </w:pPr>
            <w:r>
              <w:t>Description</w:t>
            </w:r>
          </w:p>
        </w:tc>
      </w:tr>
      <w:tr w:rsidR="0079452E" w14:paraId="72E993C0" w14:textId="77777777" w:rsidTr="00EE1566">
        <w:trPr>
          <w:jc w:val="center"/>
        </w:trPr>
        <w:tc>
          <w:tcPr>
            <w:tcW w:w="2766" w:type="dxa"/>
            <w:tcBorders>
              <w:top w:val="single" w:sz="4" w:space="0" w:color="000000"/>
              <w:left w:val="single" w:sz="4" w:space="0" w:color="000000"/>
              <w:bottom w:val="single" w:sz="4" w:space="0" w:color="000000"/>
              <w:right w:val="nil"/>
            </w:tcBorders>
            <w:hideMark/>
          </w:tcPr>
          <w:p w14:paraId="525C2567" w14:textId="4C34F58B" w:rsidR="0079452E" w:rsidRDefault="0079452E" w:rsidP="00EE1566">
            <w:pPr>
              <w:pStyle w:val="TH"/>
            </w:pPr>
            <w:r>
              <w:t>Safe viewing zone flag</w:t>
            </w:r>
          </w:p>
        </w:tc>
        <w:tc>
          <w:tcPr>
            <w:tcW w:w="1340" w:type="dxa"/>
            <w:tcBorders>
              <w:top w:val="single" w:sz="4" w:space="0" w:color="000000"/>
              <w:left w:val="single" w:sz="4" w:space="0" w:color="000000"/>
              <w:bottom w:val="single" w:sz="4" w:space="0" w:color="000000"/>
              <w:right w:val="nil"/>
            </w:tcBorders>
            <w:hideMark/>
          </w:tcPr>
          <w:p w14:paraId="3413CF76" w14:textId="77777777" w:rsidR="0079452E" w:rsidRDefault="0079452E" w:rsidP="00EE1566">
            <w:pPr>
              <w:pStyle w:val="TH"/>
            </w:pPr>
            <w:r>
              <w:t>Binary</w:t>
            </w:r>
          </w:p>
        </w:tc>
        <w:tc>
          <w:tcPr>
            <w:tcW w:w="5534" w:type="dxa"/>
            <w:tcBorders>
              <w:top w:val="single" w:sz="4" w:space="0" w:color="000000"/>
              <w:left w:val="single" w:sz="4" w:space="0" w:color="000000"/>
              <w:bottom w:val="single" w:sz="4" w:space="0" w:color="000000"/>
              <w:right w:val="single" w:sz="4" w:space="0" w:color="000000"/>
            </w:tcBorders>
            <w:hideMark/>
          </w:tcPr>
          <w:p w14:paraId="770AC30C" w14:textId="182070BE" w:rsidR="0079452E" w:rsidRDefault="0079452E" w:rsidP="00EE1566">
            <w:pPr>
              <w:pStyle w:val="TH"/>
              <w:jc w:val="left"/>
            </w:pPr>
            <w:r>
              <w:t xml:space="preserve">If present, indicates the presence of parameters describing the safe area in which visual objects are </w:t>
            </w:r>
            <w:r w:rsidR="005D4DF7">
              <w:t>safely</w:t>
            </w:r>
            <w:r>
              <w:t xml:space="preserve"> placed</w:t>
            </w:r>
          </w:p>
        </w:tc>
      </w:tr>
      <w:tr w:rsidR="0079452E" w14:paraId="2396AE4C" w14:textId="77777777" w:rsidTr="00EE1566">
        <w:trPr>
          <w:jc w:val="center"/>
        </w:trPr>
        <w:tc>
          <w:tcPr>
            <w:tcW w:w="2766" w:type="dxa"/>
            <w:tcBorders>
              <w:top w:val="single" w:sz="4" w:space="0" w:color="000000"/>
              <w:left w:val="single" w:sz="4" w:space="0" w:color="000000"/>
              <w:bottom w:val="single" w:sz="4" w:space="0" w:color="000000"/>
              <w:right w:val="nil"/>
            </w:tcBorders>
            <w:hideMark/>
          </w:tcPr>
          <w:p w14:paraId="05D61847" w14:textId="77777777" w:rsidR="0079452E" w:rsidRDefault="0079452E" w:rsidP="00EE1566">
            <w:pPr>
              <w:pStyle w:val="TH"/>
            </w:pPr>
            <w:r>
              <w:t>Distance</w:t>
            </w:r>
          </w:p>
        </w:tc>
        <w:tc>
          <w:tcPr>
            <w:tcW w:w="1340" w:type="dxa"/>
            <w:tcBorders>
              <w:top w:val="single" w:sz="4" w:space="0" w:color="000000"/>
              <w:left w:val="single" w:sz="4" w:space="0" w:color="000000"/>
              <w:bottom w:val="single" w:sz="4" w:space="0" w:color="000000"/>
              <w:right w:val="nil"/>
            </w:tcBorders>
            <w:hideMark/>
          </w:tcPr>
          <w:p w14:paraId="016E0216" w14:textId="77777777" w:rsidR="0079452E" w:rsidRDefault="0079452E" w:rsidP="00EE1566">
            <w:pPr>
              <w:pStyle w:val="TH"/>
              <w:tabs>
                <w:tab w:val="left" w:pos="256"/>
                <w:tab w:val="center" w:pos="342"/>
              </w:tabs>
              <w:jc w:val="left"/>
            </w:pPr>
            <w:r>
              <w:tab/>
              <w:t>Integer</w:t>
            </w:r>
          </w:p>
        </w:tc>
        <w:tc>
          <w:tcPr>
            <w:tcW w:w="5534" w:type="dxa"/>
            <w:tcBorders>
              <w:top w:val="single" w:sz="4" w:space="0" w:color="000000"/>
              <w:left w:val="single" w:sz="4" w:space="0" w:color="000000"/>
              <w:bottom w:val="single" w:sz="4" w:space="0" w:color="000000"/>
              <w:right w:val="single" w:sz="4" w:space="0" w:color="000000"/>
            </w:tcBorders>
            <w:hideMark/>
          </w:tcPr>
          <w:p w14:paraId="7452B27F" w14:textId="77777777" w:rsidR="0079452E" w:rsidRDefault="0079452E" w:rsidP="00EE1566">
            <w:pPr>
              <w:pStyle w:val="TH"/>
              <w:jc w:val="left"/>
            </w:pPr>
            <w:r>
              <w:t>Distance from the viewing device expressed in millimeters</w:t>
            </w:r>
          </w:p>
        </w:tc>
      </w:tr>
      <w:tr w:rsidR="0079452E" w14:paraId="07C40A3B" w14:textId="77777777" w:rsidTr="00EE1566">
        <w:trPr>
          <w:jc w:val="center"/>
        </w:trPr>
        <w:tc>
          <w:tcPr>
            <w:tcW w:w="2766" w:type="dxa"/>
            <w:tcBorders>
              <w:top w:val="single" w:sz="4" w:space="0" w:color="000000"/>
              <w:left w:val="single" w:sz="4" w:space="0" w:color="000000"/>
              <w:bottom w:val="single" w:sz="4" w:space="0" w:color="000000"/>
              <w:right w:val="nil"/>
            </w:tcBorders>
            <w:hideMark/>
          </w:tcPr>
          <w:p w14:paraId="66A957DF" w14:textId="77777777" w:rsidR="0079452E" w:rsidRDefault="0079452E" w:rsidP="00EE1566">
            <w:pPr>
              <w:pStyle w:val="TH"/>
            </w:pPr>
            <w:r>
              <w:t>Radius</w:t>
            </w:r>
          </w:p>
        </w:tc>
        <w:tc>
          <w:tcPr>
            <w:tcW w:w="1340" w:type="dxa"/>
            <w:tcBorders>
              <w:top w:val="single" w:sz="4" w:space="0" w:color="000000"/>
              <w:left w:val="single" w:sz="4" w:space="0" w:color="000000"/>
              <w:bottom w:val="single" w:sz="4" w:space="0" w:color="000000"/>
              <w:right w:val="nil"/>
            </w:tcBorders>
            <w:hideMark/>
          </w:tcPr>
          <w:p w14:paraId="099D040B" w14:textId="77777777" w:rsidR="0079452E" w:rsidRDefault="0079452E" w:rsidP="00EE1566">
            <w:pPr>
              <w:pStyle w:val="TH"/>
            </w:pPr>
            <w:r>
              <w:t>Integer</w:t>
            </w:r>
          </w:p>
        </w:tc>
        <w:tc>
          <w:tcPr>
            <w:tcW w:w="5534" w:type="dxa"/>
            <w:tcBorders>
              <w:top w:val="single" w:sz="4" w:space="0" w:color="000000"/>
              <w:left w:val="single" w:sz="4" w:space="0" w:color="000000"/>
              <w:bottom w:val="single" w:sz="4" w:space="0" w:color="000000"/>
              <w:right w:val="single" w:sz="4" w:space="0" w:color="000000"/>
            </w:tcBorders>
            <w:hideMark/>
          </w:tcPr>
          <w:p w14:paraId="67B0E167" w14:textId="77777777" w:rsidR="0079452E" w:rsidRDefault="0079452E" w:rsidP="00EE1566">
            <w:pPr>
              <w:pStyle w:val="TH"/>
              <w:jc w:val="left"/>
            </w:pPr>
            <w:r>
              <w:t>Angle between the center axis of the viewing equipment and the side angle</w:t>
            </w:r>
          </w:p>
        </w:tc>
      </w:tr>
    </w:tbl>
    <w:p w14:paraId="06C93CCC" w14:textId="77777777" w:rsidR="0079452E" w:rsidRDefault="0079452E" w:rsidP="0079452E"/>
    <w:p w14:paraId="712E1CE6" w14:textId="77777777" w:rsidR="0079452E" w:rsidRDefault="0079452E" w:rsidP="0079452E">
      <w:r>
        <w:t>The overall field of view of the safe zone is assumed to be twice the Radius value. More advanced metrics may differentiate the left and right Radius.</w:t>
      </w:r>
    </w:p>
    <w:p w14:paraId="111785A4" w14:textId="77777777" w:rsidR="0079452E" w:rsidRDefault="0079452E" w:rsidP="0079452E">
      <w:pPr>
        <w:pStyle w:val="Heading3"/>
      </w:pPr>
      <w:r>
        <w:t>5.1.4</w:t>
      </w:r>
      <w:r>
        <w:tab/>
        <w:t>Impacts on QoE</w:t>
      </w:r>
    </w:p>
    <w:p w14:paraId="4E6E8F36" w14:textId="075D5245" w:rsidR="0079452E" w:rsidRDefault="0079452E" w:rsidP="0079452E">
      <w:r>
        <w:t xml:space="preserve">With the knowledge of the safe viewing zone, the service provider </w:t>
      </w:r>
      <w:r w:rsidR="005D4DF7">
        <w:t>can</w:t>
      </w:r>
      <w:r>
        <w:t xml:space="preserve"> limit the immersive experience to the available area. Depending on the service, the user may only see the objects fitting into the safe viewing zone without any visual collision with the real environment.</w:t>
      </w:r>
    </w:p>
    <w:p w14:paraId="0278F206" w14:textId="3BE8DF9B" w:rsidR="0079452E" w:rsidRDefault="0079452E" w:rsidP="0079452E">
      <w:r>
        <w:t xml:space="preserve">Alternatively, a service provider may decide to only offer immersive experiences compliant with the defined viewing zone. In another scenario, the virtual scene </w:t>
      </w:r>
      <w:r w:rsidR="005D4DF7">
        <w:t>may</w:t>
      </w:r>
      <w:r>
        <w:t xml:space="preserve"> be scaled down to be displayed as being in the safe viewing zone.</w:t>
      </w:r>
    </w:p>
    <w:p w14:paraId="74E976C4" w14:textId="77777777" w:rsidR="0079452E" w:rsidRPr="00D2457B" w:rsidRDefault="0079452E" w:rsidP="0079452E"/>
    <w:p w14:paraId="05F8A912" w14:textId="77777777" w:rsidR="00544F0B" w:rsidRDefault="005D4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*End of Change * * * *</w:t>
      </w:r>
    </w:p>
    <w:p w14:paraId="2F7AD31C" w14:textId="77777777" w:rsidR="00544F0B" w:rsidRDefault="00544F0B">
      <w:pPr>
        <w:rPr>
          <w:lang w:val="en-US"/>
        </w:rPr>
      </w:pPr>
    </w:p>
    <w:sectPr w:rsidR="00544F0B">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45F2E" w14:textId="77777777" w:rsidR="00BD18E6" w:rsidRDefault="00BD18E6">
      <w:pPr>
        <w:spacing w:after="0"/>
      </w:pPr>
      <w:r>
        <w:separator/>
      </w:r>
    </w:p>
  </w:endnote>
  <w:endnote w:type="continuationSeparator" w:id="0">
    <w:p w14:paraId="0EE3D037" w14:textId="77777777" w:rsidR="00BD18E6" w:rsidRDefault="00BD18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0C35" w14:textId="77777777" w:rsidR="00544F0B" w:rsidRDefault="005D4D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4DBBA" w14:textId="77777777" w:rsidR="00BD18E6" w:rsidRDefault="00BD18E6">
      <w:pPr>
        <w:spacing w:after="0"/>
      </w:pPr>
      <w:r>
        <w:separator/>
      </w:r>
    </w:p>
  </w:footnote>
  <w:footnote w:type="continuationSeparator" w:id="0">
    <w:p w14:paraId="6103579C" w14:textId="77777777" w:rsidR="00BD18E6" w:rsidRDefault="00BD18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806A3"/>
    <w:multiLevelType w:val="multilevel"/>
    <w:tmpl w:val="173806A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D77C29"/>
    <w:multiLevelType w:val="hybridMultilevel"/>
    <w:tmpl w:val="D464AFFC"/>
    <w:lvl w:ilvl="0" w:tplc="D094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16cid:durableId="878397133">
    <w:abstractNumId w:val="3"/>
  </w:num>
  <w:num w:numId="2" w16cid:durableId="3688032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443962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42881216">
    <w:abstractNumId w:val="1"/>
  </w:num>
  <w:num w:numId="5" w16cid:durableId="107239268">
    <w:abstractNumId w:val="9"/>
  </w:num>
  <w:num w:numId="6" w16cid:durableId="1302075673">
    <w:abstractNumId w:val="10"/>
  </w:num>
  <w:num w:numId="7" w16cid:durableId="2065832743">
    <w:abstractNumId w:val="2"/>
  </w:num>
  <w:num w:numId="8" w16cid:durableId="1627008777">
    <w:abstractNumId w:val="5"/>
  </w:num>
  <w:num w:numId="9" w16cid:durableId="1448312588">
    <w:abstractNumId w:val="6"/>
  </w:num>
  <w:num w:numId="10" w16cid:durableId="907883568">
    <w:abstractNumId w:val="7"/>
  </w:num>
  <w:num w:numId="11" w16cid:durableId="1534726535">
    <w:abstractNumId w:val="4"/>
  </w:num>
  <w:num w:numId="12" w16cid:durableId="2177424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7D62"/>
    <w:rsid w:val="00040095"/>
    <w:rsid w:val="00051834"/>
    <w:rsid w:val="00054A22"/>
    <w:rsid w:val="00062023"/>
    <w:rsid w:val="000655A6"/>
    <w:rsid w:val="00080512"/>
    <w:rsid w:val="0009108F"/>
    <w:rsid w:val="000946B5"/>
    <w:rsid w:val="000C47C3"/>
    <w:rsid w:val="000D58AB"/>
    <w:rsid w:val="00105B05"/>
    <w:rsid w:val="00112AB0"/>
    <w:rsid w:val="00133525"/>
    <w:rsid w:val="001A4C42"/>
    <w:rsid w:val="001A7420"/>
    <w:rsid w:val="001B6637"/>
    <w:rsid w:val="001C21C3"/>
    <w:rsid w:val="001C31B5"/>
    <w:rsid w:val="001D02C2"/>
    <w:rsid w:val="001E0963"/>
    <w:rsid w:val="001F0C1D"/>
    <w:rsid w:val="001F1132"/>
    <w:rsid w:val="001F168B"/>
    <w:rsid w:val="00202AAD"/>
    <w:rsid w:val="00212356"/>
    <w:rsid w:val="002347A2"/>
    <w:rsid w:val="002675F0"/>
    <w:rsid w:val="002760EE"/>
    <w:rsid w:val="002B6339"/>
    <w:rsid w:val="002E00EE"/>
    <w:rsid w:val="003172DC"/>
    <w:rsid w:val="0035462D"/>
    <w:rsid w:val="00356555"/>
    <w:rsid w:val="00367AA5"/>
    <w:rsid w:val="00373AAC"/>
    <w:rsid w:val="003765B8"/>
    <w:rsid w:val="003B5B01"/>
    <w:rsid w:val="003B7162"/>
    <w:rsid w:val="003C3971"/>
    <w:rsid w:val="00423334"/>
    <w:rsid w:val="004345EC"/>
    <w:rsid w:val="004573B7"/>
    <w:rsid w:val="00465515"/>
    <w:rsid w:val="0048763E"/>
    <w:rsid w:val="0049751D"/>
    <w:rsid w:val="004B11D5"/>
    <w:rsid w:val="004C30AC"/>
    <w:rsid w:val="004D3578"/>
    <w:rsid w:val="004E1429"/>
    <w:rsid w:val="004E213A"/>
    <w:rsid w:val="004F0988"/>
    <w:rsid w:val="004F3340"/>
    <w:rsid w:val="0053388B"/>
    <w:rsid w:val="00535773"/>
    <w:rsid w:val="00543E6C"/>
    <w:rsid w:val="00544F0B"/>
    <w:rsid w:val="00565087"/>
    <w:rsid w:val="00597B11"/>
    <w:rsid w:val="005D2E01"/>
    <w:rsid w:val="005D4DF7"/>
    <w:rsid w:val="005D7526"/>
    <w:rsid w:val="005E4BB2"/>
    <w:rsid w:val="005F788A"/>
    <w:rsid w:val="00602AEA"/>
    <w:rsid w:val="00614FDF"/>
    <w:rsid w:val="0063543D"/>
    <w:rsid w:val="00647114"/>
    <w:rsid w:val="006548BF"/>
    <w:rsid w:val="00656613"/>
    <w:rsid w:val="00676292"/>
    <w:rsid w:val="00687DC4"/>
    <w:rsid w:val="006912E9"/>
    <w:rsid w:val="006A323F"/>
    <w:rsid w:val="006B0EC9"/>
    <w:rsid w:val="006B30D0"/>
    <w:rsid w:val="006C3D95"/>
    <w:rsid w:val="006E45FF"/>
    <w:rsid w:val="006E5C86"/>
    <w:rsid w:val="006F2A36"/>
    <w:rsid w:val="00701116"/>
    <w:rsid w:val="0071174C"/>
    <w:rsid w:val="00713C44"/>
    <w:rsid w:val="00734A5B"/>
    <w:rsid w:val="0074026F"/>
    <w:rsid w:val="007429F6"/>
    <w:rsid w:val="00744E76"/>
    <w:rsid w:val="007606F6"/>
    <w:rsid w:val="00765EA3"/>
    <w:rsid w:val="00774DA4"/>
    <w:rsid w:val="00781F0F"/>
    <w:rsid w:val="0079452E"/>
    <w:rsid w:val="007A6C4E"/>
    <w:rsid w:val="007A7B79"/>
    <w:rsid w:val="007B600E"/>
    <w:rsid w:val="007F0F4A"/>
    <w:rsid w:val="008028A4"/>
    <w:rsid w:val="00824A58"/>
    <w:rsid w:val="00830747"/>
    <w:rsid w:val="008359CD"/>
    <w:rsid w:val="00844198"/>
    <w:rsid w:val="0084545D"/>
    <w:rsid w:val="008768CA"/>
    <w:rsid w:val="00881287"/>
    <w:rsid w:val="00894BE4"/>
    <w:rsid w:val="00895E6D"/>
    <w:rsid w:val="008A2B42"/>
    <w:rsid w:val="008C384C"/>
    <w:rsid w:val="008D05CF"/>
    <w:rsid w:val="008E2D68"/>
    <w:rsid w:val="008E4540"/>
    <w:rsid w:val="008E6756"/>
    <w:rsid w:val="0090271F"/>
    <w:rsid w:val="00902E23"/>
    <w:rsid w:val="009114D7"/>
    <w:rsid w:val="0091348E"/>
    <w:rsid w:val="00917CCB"/>
    <w:rsid w:val="00933FB0"/>
    <w:rsid w:val="00941F76"/>
    <w:rsid w:val="00942EC2"/>
    <w:rsid w:val="00944926"/>
    <w:rsid w:val="0095323F"/>
    <w:rsid w:val="00955E0C"/>
    <w:rsid w:val="00997271"/>
    <w:rsid w:val="009F37B7"/>
    <w:rsid w:val="00A10F02"/>
    <w:rsid w:val="00A164B4"/>
    <w:rsid w:val="00A2513D"/>
    <w:rsid w:val="00A26956"/>
    <w:rsid w:val="00A27486"/>
    <w:rsid w:val="00A53724"/>
    <w:rsid w:val="00A56066"/>
    <w:rsid w:val="00A73129"/>
    <w:rsid w:val="00A82346"/>
    <w:rsid w:val="00A92BA1"/>
    <w:rsid w:val="00A95A32"/>
    <w:rsid w:val="00AA11D1"/>
    <w:rsid w:val="00AB03E0"/>
    <w:rsid w:val="00AB4A5D"/>
    <w:rsid w:val="00AC6BC6"/>
    <w:rsid w:val="00AE65E2"/>
    <w:rsid w:val="00AF1460"/>
    <w:rsid w:val="00B00457"/>
    <w:rsid w:val="00B15449"/>
    <w:rsid w:val="00B51403"/>
    <w:rsid w:val="00B86900"/>
    <w:rsid w:val="00B92C52"/>
    <w:rsid w:val="00B93086"/>
    <w:rsid w:val="00BA19ED"/>
    <w:rsid w:val="00BA4B8D"/>
    <w:rsid w:val="00BC0F7D"/>
    <w:rsid w:val="00BD150B"/>
    <w:rsid w:val="00BD18E6"/>
    <w:rsid w:val="00BD7D31"/>
    <w:rsid w:val="00BE3255"/>
    <w:rsid w:val="00BE7BF9"/>
    <w:rsid w:val="00BF128E"/>
    <w:rsid w:val="00C074DD"/>
    <w:rsid w:val="00C1496A"/>
    <w:rsid w:val="00C250EF"/>
    <w:rsid w:val="00C33079"/>
    <w:rsid w:val="00C42E72"/>
    <w:rsid w:val="00C45231"/>
    <w:rsid w:val="00C551FF"/>
    <w:rsid w:val="00C63186"/>
    <w:rsid w:val="00C72833"/>
    <w:rsid w:val="00C80F1D"/>
    <w:rsid w:val="00C8679A"/>
    <w:rsid w:val="00C91962"/>
    <w:rsid w:val="00C93F40"/>
    <w:rsid w:val="00CA3D0C"/>
    <w:rsid w:val="00D00D88"/>
    <w:rsid w:val="00D125CB"/>
    <w:rsid w:val="00D12624"/>
    <w:rsid w:val="00D57972"/>
    <w:rsid w:val="00D61C48"/>
    <w:rsid w:val="00D675A9"/>
    <w:rsid w:val="00D738D6"/>
    <w:rsid w:val="00D755EB"/>
    <w:rsid w:val="00D76048"/>
    <w:rsid w:val="00D82E6F"/>
    <w:rsid w:val="00D87E00"/>
    <w:rsid w:val="00D9134D"/>
    <w:rsid w:val="00DA7A03"/>
    <w:rsid w:val="00DB1818"/>
    <w:rsid w:val="00DC309B"/>
    <w:rsid w:val="00DC4DA2"/>
    <w:rsid w:val="00DD4C17"/>
    <w:rsid w:val="00DD74A5"/>
    <w:rsid w:val="00DE0178"/>
    <w:rsid w:val="00DF2B1F"/>
    <w:rsid w:val="00DF62CD"/>
    <w:rsid w:val="00E16509"/>
    <w:rsid w:val="00E443E6"/>
    <w:rsid w:val="00E44582"/>
    <w:rsid w:val="00E53AF6"/>
    <w:rsid w:val="00E61485"/>
    <w:rsid w:val="00E77645"/>
    <w:rsid w:val="00E956C0"/>
    <w:rsid w:val="00EA15B0"/>
    <w:rsid w:val="00EA5EA7"/>
    <w:rsid w:val="00EB47C4"/>
    <w:rsid w:val="00EB69B4"/>
    <w:rsid w:val="00EC4A25"/>
    <w:rsid w:val="00EE0919"/>
    <w:rsid w:val="00EF608C"/>
    <w:rsid w:val="00F025A2"/>
    <w:rsid w:val="00F04712"/>
    <w:rsid w:val="00F13360"/>
    <w:rsid w:val="00F20764"/>
    <w:rsid w:val="00F22EC7"/>
    <w:rsid w:val="00F260CC"/>
    <w:rsid w:val="00F320F5"/>
    <w:rsid w:val="00F325C8"/>
    <w:rsid w:val="00F33679"/>
    <w:rsid w:val="00F653B8"/>
    <w:rsid w:val="00F66B2C"/>
    <w:rsid w:val="00F7045D"/>
    <w:rsid w:val="00F9008D"/>
    <w:rsid w:val="00FA01CB"/>
    <w:rsid w:val="00FA1266"/>
    <w:rsid w:val="00FC1192"/>
    <w:rsid w:val="03736939"/>
    <w:rsid w:val="05591D9F"/>
    <w:rsid w:val="0B67614A"/>
    <w:rsid w:val="119B6355"/>
    <w:rsid w:val="13FE7AE6"/>
    <w:rsid w:val="1AF809E0"/>
    <w:rsid w:val="2627394F"/>
    <w:rsid w:val="2DA72FC8"/>
    <w:rsid w:val="2EBE43D5"/>
    <w:rsid w:val="2FF75D9A"/>
    <w:rsid w:val="315B5B02"/>
    <w:rsid w:val="34103037"/>
    <w:rsid w:val="34874069"/>
    <w:rsid w:val="37FC2A28"/>
    <w:rsid w:val="382D0AE9"/>
    <w:rsid w:val="39090A1E"/>
    <w:rsid w:val="3DB6511A"/>
    <w:rsid w:val="3F9332D9"/>
    <w:rsid w:val="405F3611"/>
    <w:rsid w:val="412F0FD1"/>
    <w:rsid w:val="42702BF7"/>
    <w:rsid w:val="434705F9"/>
    <w:rsid w:val="43750550"/>
    <w:rsid w:val="45CC5D5D"/>
    <w:rsid w:val="4856365D"/>
    <w:rsid w:val="4A2D3E04"/>
    <w:rsid w:val="4DA60EA9"/>
    <w:rsid w:val="5142459D"/>
    <w:rsid w:val="575D2E72"/>
    <w:rsid w:val="57CD1872"/>
    <w:rsid w:val="5C240439"/>
    <w:rsid w:val="66EE2857"/>
    <w:rsid w:val="6B2B260C"/>
    <w:rsid w:val="6D851BD9"/>
    <w:rsid w:val="72D711F1"/>
    <w:rsid w:val="7A2072ED"/>
    <w:rsid w:val="7C20154B"/>
    <w:rsid w:val="7F653EF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91758"/>
  <w15:docId w15:val="{36ADCB79-5B57-1E47-96D2-9F66816ED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lsdException w:name="toc 7" w:semiHidden="1"/>
    <w:lsdException w:name="toc 8" w:uiPriority="39"/>
    <w:lsdException w:name="toc 9" w:uiPriority="39" w:qFormat="1"/>
    <w:lsdException w:name="annotation text"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rPr>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Mentionnonrsolue1">
    <w:name w:val="Mention non résolue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ind w:leftChars="400" w:left="840"/>
    </w:pPr>
  </w:style>
  <w:style w:type="paragraph" w:styleId="Revision">
    <w:name w:val="Revision"/>
    <w:hidden/>
    <w:uiPriority w:val="99"/>
    <w:semiHidden/>
    <w:rsid w:val="00D61C48"/>
    <w:rPr>
      <w:rFonts w:eastAsia="Times New Roman"/>
      <w:lang w:val="en-GB" w:eastAsia="en-US"/>
    </w:rPr>
  </w:style>
  <w:style w:type="character" w:customStyle="1" w:styleId="CommentaireCar">
    <w:name w:val="Commentaire Car"/>
    <w:basedOn w:val="DefaultParagraphFont"/>
    <w:rsid w:val="00B00457"/>
    <w:rPr>
      <w:lang w:eastAsia="en-US"/>
    </w:rPr>
  </w:style>
  <w:style w:type="paragraph" w:styleId="CommentSubject">
    <w:name w:val="annotation subject"/>
    <w:basedOn w:val="CommentText"/>
    <w:next w:val="CommentText"/>
    <w:link w:val="CommentSubjectChar"/>
    <w:rsid w:val="00B00457"/>
    <w:rPr>
      <w:rFonts w:eastAsia="Batang"/>
      <w:b/>
      <w:bCs/>
    </w:rPr>
  </w:style>
  <w:style w:type="character" w:customStyle="1" w:styleId="CommentTextChar">
    <w:name w:val="Comment Text Char"/>
    <w:basedOn w:val="DefaultParagraphFont"/>
    <w:link w:val="CommentText"/>
    <w:rsid w:val="00B00457"/>
    <w:rPr>
      <w:rFonts w:eastAsia="Times New Roman"/>
      <w:lang w:val="en-GB" w:eastAsia="en-US"/>
    </w:rPr>
  </w:style>
  <w:style w:type="character" w:customStyle="1" w:styleId="CommentSubjectChar">
    <w:name w:val="Comment Subject Char"/>
    <w:basedOn w:val="CommentTextChar"/>
    <w:link w:val="CommentSubject"/>
    <w:rsid w:val="00B00457"/>
    <w:rPr>
      <w:rFonts w:eastAsia="Batang"/>
      <w:b/>
      <w:bCs/>
      <w:lang w:val="en-GB" w:eastAsia="en-US"/>
    </w:rPr>
  </w:style>
  <w:style w:type="character" w:customStyle="1" w:styleId="B1Char1">
    <w:name w:val="B1 Char1"/>
    <w:link w:val="B1"/>
    <w:rsid w:val="0079452E"/>
    <w:rPr>
      <w:rFonts w:eastAsia="Times New Roman"/>
      <w:lang w:val="en-GB" w:eastAsia="en-US"/>
    </w:rPr>
  </w:style>
  <w:style w:type="character" w:customStyle="1" w:styleId="Heading1Char">
    <w:name w:val="Heading 1 Char"/>
    <w:basedOn w:val="DefaultParagraphFont"/>
    <w:link w:val="Heading1"/>
    <w:rsid w:val="0079452E"/>
    <w:rPr>
      <w:rFonts w:ascii="Arial" w:eastAsia="Times New Roman" w:hAnsi="Arial"/>
      <w:sz w:val="36"/>
      <w:lang w:val="en-GB" w:eastAsia="en-US"/>
    </w:rPr>
  </w:style>
  <w:style w:type="character" w:customStyle="1" w:styleId="B1Char">
    <w:name w:val="B1 Char"/>
    <w:locked/>
    <w:rsid w:val="0079452E"/>
    <w:rPr>
      <w:rFonts w:ascii="Times New Roman" w:hAnsi="Times New Roman"/>
      <w:noProof/>
      <w:lang w:val="en-GB" w:eastAsia="en-US"/>
    </w:rPr>
  </w:style>
  <w:style w:type="paragraph" w:styleId="Caption">
    <w:name w:val="caption"/>
    <w:basedOn w:val="Normal"/>
    <w:next w:val="Normal"/>
    <w:unhideWhenUsed/>
    <w:qFormat/>
    <w:rsid w:val="0079452E"/>
    <w:pPr>
      <w:spacing w:after="200"/>
    </w:pPr>
    <w:rPr>
      <w:rFonts w:eastAsiaTheme="minorEastAsia"/>
      <w:i/>
      <w:iCs/>
      <w:noProof/>
      <w:color w:val="44546A" w:themeColor="text2"/>
      <w:sz w:val="18"/>
      <w:szCs w:val="18"/>
    </w:rPr>
  </w:style>
  <w:style w:type="character" w:customStyle="1" w:styleId="TFChar">
    <w:name w:val="TF Char"/>
    <w:link w:val="TF"/>
    <w:locked/>
    <w:rsid w:val="0079452E"/>
    <w:rPr>
      <w:rFonts w:ascii="Arial" w:eastAsia="Times New Roman" w:hAnsi="Arial"/>
      <w:b/>
      <w:lang w:val="en-GB" w:eastAsia="en-US"/>
    </w:rPr>
  </w:style>
  <w:style w:type="character" w:customStyle="1" w:styleId="THChar">
    <w:name w:val="TH Char"/>
    <w:link w:val="TH"/>
    <w:qFormat/>
    <w:locked/>
    <w:rsid w:val="0079452E"/>
    <w:rPr>
      <w:rFonts w:ascii="Arial" w:eastAsia="Times New Roman" w:hAnsi="Arial"/>
      <w:b/>
      <w:lang w:val="en-GB" w:eastAsia="en-US"/>
    </w:rPr>
  </w:style>
  <w:style w:type="character" w:customStyle="1" w:styleId="B2Char">
    <w:name w:val="B2 Char"/>
    <w:link w:val="B2"/>
    <w:rsid w:val="0079452E"/>
    <w:rPr>
      <w:rFonts w:eastAsia="Times New Roman"/>
      <w:lang w:val="en-GB" w:eastAsia="en-US"/>
    </w:rPr>
  </w:style>
  <w:style w:type="character" w:customStyle="1" w:styleId="TALChar">
    <w:name w:val="TAL Char"/>
    <w:link w:val="TAL"/>
    <w:locked/>
    <w:rsid w:val="0079452E"/>
    <w:rPr>
      <w:rFonts w:ascii="Arial" w:eastAsia="Times New Roman" w:hAnsi="Arial"/>
      <w:sz w:val="18"/>
      <w:lang w:val="en-GB" w:eastAsia="en-US"/>
    </w:rPr>
  </w:style>
  <w:style w:type="character" w:customStyle="1" w:styleId="TAHCar">
    <w:name w:val="TAH Car"/>
    <w:link w:val="TAH"/>
    <w:locked/>
    <w:rsid w:val="0079452E"/>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08DCA91-40F4-46DB-8A3C-699DA2091F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463</Words>
  <Characters>2317</Characters>
  <Application>Microsoft Office Word</Application>
  <DocSecurity>0</DocSecurity>
  <Lines>66</Lines>
  <Paragraphs>48</Paragraphs>
  <ScaleCrop>false</ScaleCrop>
  <HeadingPairs>
    <vt:vector size="2" baseType="variant">
      <vt:variant>
        <vt:lpstr>Titre</vt:lpstr>
      </vt:variant>
      <vt:variant>
        <vt:i4>1</vt:i4>
      </vt:variant>
    </vt:vector>
  </HeadingPairs>
  <TitlesOfParts>
    <vt:vector size="1" baseType="lpstr">
      <vt:lpstr>3GPP TS ab.cde</vt:lpstr>
    </vt:vector>
  </TitlesOfParts>
  <Company>ETSI</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Iraj Sodagar</cp:lastModifiedBy>
  <cp:revision>7</cp:revision>
  <cp:lastPrinted>2019-02-25T14:05:00Z</cp:lastPrinted>
  <dcterms:created xsi:type="dcterms:W3CDTF">2023-02-15T19:19:00Z</dcterms:created>
  <dcterms:modified xsi:type="dcterms:W3CDTF">2023-02-15T19:30:00Z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AB3F8990E1EE49E7BEA6F4AD84E59A6F</vt:lpwstr>
  </property>
  <property fmtid="{D5CDD505-2E9C-101B-9397-08002B2CF9AE}" pid="4" name="_2015_ms_pID_725343">
    <vt:lpwstr>(3)SxStc/+9InL2yPB6AfMJntCe6PQJZW2hfVg/Iyc+cTZWxrATC7C88LIdi74hDQzBUrxIzdyw
AULWevPaFZJa3r5prMdL3rH8zK0/M47KYHAr1T3au/QDi7v0lmAZ4ZLVWFSv4hCoD7wDpCU4
2Jg4rMo3T6pRpPZV22ln+GrMTea96pTE0K7W7tECRzQFkV4VZfTveKxz/FZ5kfDqM3JHvKeK
GcZhrQga3J6otW/hJq</vt:lpwstr>
  </property>
  <property fmtid="{D5CDD505-2E9C-101B-9397-08002B2CF9AE}" pid="5" name="_2015_ms_pID_7253431">
    <vt:lpwstr>BFcyKZw0HbOzKmBLgfR0cDSs9BnW4YM9gcJd9yUtIY8fmCUNsKZ3V9
MybrjsP0XpWbExTYKfXEAWYxz1ITq9HoWtnql5AUFxyH/XlcNtGyN9KO/6S8rjMAV4ivhPqX
hMMs6rfPakgJOIfMnows6SP+4ou1yrdtPYhO5RAt4xPBjFIdYIOwnMexLJzkjCOEmeN+6P6j
Gbr4tN8wgcr4kToy6Ntw36bO+OXwi6kMQwjJ</vt:lpwstr>
  </property>
  <property fmtid="{D5CDD505-2E9C-101B-9397-08002B2CF9AE}" pid="6" name="_2015_ms_pID_7253432">
    <vt:lpwstr>XA==</vt:lpwstr>
  </property>
  <property fmtid="{D5CDD505-2E9C-101B-9397-08002B2CF9AE}" pid="7" name="GrammarlyDocumentId">
    <vt:lpwstr>521a189b87d17791a92e20b33c6de614b03125a11bf88a46a53dc715eaa60f2f</vt:lpwstr>
  </property>
</Properties>
</file>